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0192" w:rsidP="0042396A" w:rsidRDefault="000E0192" w14:paraId="42BBE352" w14:textId="77777777">
      <w:pPr>
        <w:ind w:left="0"/>
        <w:rPr>
          <w:rFonts w:asciiTheme="minorHAnsi" w:hAnsiTheme="minorHAnsi" w:cstheme="minorHAnsi"/>
        </w:rPr>
      </w:pPr>
    </w:p>
    <w:p w:rsidR="000E0192" w:rsidP="0042396A" w:rsidRDefault="000E0192" w14:paraId="2904D39C" w14:textId="77777777">
      <w:pPr>
        <w:ind w:left="0"/>
        <w:rPr>
          <w:rFonts w:asciiTheme="minorHAnsi" w:hAnsiTheme="minorHAnsi" w:cstheme="minorHAnsi"/>
        </w:rPr>
      </w:pPr>
    </w:p>
    <w:p w:rsidRPr="00F406F2" w:rsidR="0042396A" w:rsidP="0042396A" w:rsidRDefault="0042396A" w14:paraId="4F082BA5" w14:textId="3D0CA438">
      <w:pPr>
        <w:ind w:left="0"/>
        <w:rPr>
          <w:rFonts w:asciiTheme="minorHAnsi" w:hAnsiTheme="minorHAnsi" w:cstheme="minorHAnsi"/>
        </w:rPr>
      </w:pPr>
      <w:r w:rsidRPr="00F406F2">
        <w:rPr>
          <w:rFonts w:asciiTheme="minorHAnsi" w:hAnsiTheme="minorHAnsi" w:cstheme="minorHAnsi"/>
        </w:rPr>
        <w:t xml:space="preserve">Dear </w:t>
      </w:r>
      <w:r w:rsidRPr="0042396A">
        <w:rPr>
          <w:rFonts w:asciiTheme="minorHAnsi" w:hAnsiTheme="minorHAnsi" w:cstheme="minorHAnsi"/>
          <w:highlight w:val="yellow"/>
        </w:rPr>
        <w:t>[Governor/Director]</w:t>
      </w:r>
      <w:r>
        <w:rPr>
          <w:rFonts w:asciiTheme="minorHAnsi" w:hAnsiTheme="minorHAnsi" w:cstheme="minorHAnsi"/>
        </w:rPr>
        <w:t>:</w:t>
      </w:r>
    </w:p>
    <w:p w:rsidRPr="00F406F2" w:rsidR="0042396A" w:rsidP="0042396A" w:rsidRDefault="0042396A" w14:paraId="077F34F5" w14:textId="77777777">
      <w:pPr>
        <w:rPr>
          <w:rFonts w:asciiTheme="minorHAnsi" w:hAnsiTheme="minorHAnsi" w:cstheme="minorHAnsi"/>
        </w:rPr>
      </w:pPr>
    </w:p>
    <w:p w:rsidR="00FE6759" w:rsidP="0042396A" w:rsidRDefault="0042396A" w14:paraId="7FF77650" w14:textId="77777777">
      <w:pPr>
        <w:ind w:left="0"/>
        <w:rPr>
          <w:rFonts w:asciiTheme="minorHAnsi" w:hAnsiTheme="minorHAnsi" w:cstheme="minorHAnsi"/>
        </w:rPr>
      </w:pPr>
      <w:r w:rsidRPr="00F406F2">
        <w:rPr>
          <w:rFonts w:asciiTheme="minorHAnsi" w:hAnsiTheme="minorHAnsi" w:cstheme="minorHAnsi"/>
        </w:rPr>
        <w:t xml:space="preserve">On behalf of </w:t>
      </w:r>
      <w:r w:rsidRPr="0042396A">
        <w:rPr>
          <w:rFonts w:asciiTheme="minorHAnsi" w:hAnsiTheme="minorHAnsi" w:cstheme="minorHAnsi"/>
          <w:highlight w:val="yellow"/>
        </w:rPr>
        <w:t>[state component society]</w:t>
      </w:r>
      <w:r w:rsidRPr="00F406F2">
        <w:rPr>
          <w:rFonts w:asciiTheme="minorHAnsi" w:hAnsiTheme="minorHAnsi" w:cstheme="minorHAnsi"/>
        </w:rPr>
        <w:t xml:space="preserve"> and our member podiatrists, I commend you for demonstrating strong, consistent leadership during the COVID-19 global health crisis.  As </w:t>
      </w:r>
      <w:r w:rsidR="00780C6F">
        <w:rPr>
          <w:rFonts w:asciiTheme="minorHAnsi" w:hAnsiTheme="minorHAnsi" w:cstheme="minorHAnsi"/>
        </w:rPr>
        <w:t>our nation relies on ou</w:t>
      </w:r>
      <w:r w:rsidR="00406938">
        <w:rPr>
          <w:rFonts w:asciiTheme="minorHAnsi" w:hAnsiTheme="minorHAnsi" w:cstheme="minorHAnsi"/>
        </w:rPr>
        <w:t>r r</w:t>
      </w:r>
      <w:r w:rsidRPr="00F406F2">
        <w:rPr>
          <w:rFonts w:asciiTheme="minorHAnsi" w:hAnsiTheme="minorHAnsi" w:cstheme="minorHAnsi"/>
        </w:rPr>
        <w:t xml:space="preserve">espective governors for the management of COVID-19 vaccine distribution, </w:t>
      </w:r>
      <w:r w:rsidR="00F1317F">
        <w:rPr>
          <w:rFonts w:asciiTheme="minorHAnsi" w:hAnsiTheme="minorHAnsi" w:cstheme="minorHAnsi"/>
        </w:rPr>
        <w:t xml:space="preserve">I </w:t>
      </w:r>
      <w:r w:rsidR="00780C6F">
        <w:rPr>
          <w:rFonts w:asciiTheme="minorHAnsi" w:hAnsiTheme="minorHAnsi" w:cstheme="minorHAnsi"/>
        </w:rPr>
        <w:t xml:space="preserve">write to </w:t>
      </w:r>
      <w:r w:rsidR="007B40E4">
        <w:rPr>
          <w:rFonts w:asciiTheme="minorHAnsi" w:hAnsiTheme="minorHAnsi" w:cstheme="minorHAnsi"/>
        </w:rPr>
        <w:t>express</w:t>
      </w:r>
      <w:r w:rsidR="003B0AC3">
        <w:rPr>
          <w:rFonts w:asciiTheme="minorHAnsi" w:hAnsiTheme="minorHAnsi" w:cstheme="minorHAnsi"/>
        </w:rPr>
        <w:t xml:space="preserve"> our members </w:t>
      </w:r>
      <w:r w:rsidR="00B87C2F">
        <w:rPr>
          <w:rFonts w:asciiTheme="minorHAnsi" w:hAnsiTheme="minorHAnsi" w:cstheme="minorHAnsi"/>
        </w:rPr>
        <w:t xml:space="preserve">willingness </w:t>
      </w:r>
      <w:r w:rsidR="000E42EA">
        <w:rPr>
          <w:rFonts w:asciiTheme="minorHAnsi" w:hAnsiTheme="minorHAnsi" w:cstheme="minorHAnsi"/>
        </w:rPr>
        <w:t>to assist in the response to the COVID-19 epidemic</w:t>
      </w:r>
      <w:r w:rsidR="00D74724">
        <w:rPr>
          <w:rFonts w:asciiTheme="minorHAnsi" w:hAnsiTheme="minorHAnsi" w:cstheme="minorHAnsi"/>
        </w:rPr>
        <w:t>, including administering the COVID-19 vaccination</w:t>
      </w:r>
      <w:r w:rsidR="000E42EA">
        <w:rPr>
          <w:rFonts w:asciiTheme="minorHAnsi" w:hAnsiTheme="minorHAnsi" w:cstheme="minorHAnsi"/>
        </w:rPr>
        <w:t>.</w:t>
      </w:r>
      <w:r w:rsidR="007B40E4">
        <w:rPr>
          <w:rFonts w:asciiTheme="minorHAnsi" w:hAnsiTheme="minorHAnsi" w:cstheme="minorHAnsi"/>
        </w:rPr>
        <w:t xml:space="preserve"> </w:t>
      </w:r>
    </w:p>
    <w:p w:rsidR="00FE6759" w:rsidP="0042396A" w:rsidRDefault="00FE6759" w14:paraId="5ACCD7EF" w14:textId="77777777">
      <w:pPr>
        <w:ind w:left="0"/>
        <w:rPr>
          <w:rFonts w:asciiTheme="minorHAnsi" w:hAnsiTheme="minorHAnsi" w:cstheme="minorHAnsi"/>
        </w:rPr>
      </w:pPr>
    </w:p>
    <w:p w:rsidR="00653AEE" w:rsidP="00FE6759" w:rsidRDefault="004E313F" w14:paraId="0143D8FF" w14:textId="77777777">
      <w:pPr>
        <w:ind w:left="0"/>
        <w:rPr>
          <w:rFonts w:asciiTheme="minorHAnsi" w:hAnsiTheme="minorHAnsi" w:cstheme="minorHAnsi"/>
          <w:b/>
          <w:bCs/>
          <w:i/>
          <w:iCs/>
        </w:rPr>
      </w:pPr>
      <w:r w:rsidRPr="00F406F2">
        <w:rPr>
          <w:rFonts w:asciiTheme="minorHAnsi" w:hAnsiTheme="minorHAnsi" w:cstheme="minorHAnsi"/>
        </w:rPr>
        <w:t>Podiatrists, also known as podiatric physicians and surgeons or doctors of podiatric medicine (DPM), have seen the devastation of this disease up close with their own patients and staff</w:t>
      </w:r>
      <w:r w:rsidR="00F45FBA">
        <w:rPr>
          <w:rFonts w:asciiTheme="minorHAnsi" w:hAnsiTheme="minorHAnsi" w:cstheme="minorHAnsi"/>
        </w:rPr>
        <w:t>, and</w:t>
      </w:r>
      <w:r w:rsidR="00FE6759">
        <w:rPr>
          <w:rFonts w:asciiTheme="minorHAnsi" w:hAnsiTheme="minorHAnsi" w:cstheme="minorHAnsi"/>
        </w:rPr>
        <w:t xml:space="preserve"> </w:t>
      </w:r>
      <w:r w:rsidR="00F45FBA">
        <w:rPr>
          <w:rFonts w:asciiTheme="minorHAnsi" w:hAnsiTheme="minorHAnsi" w:cstheme="minorHAnsi"/>
        </w:rPr>
        <w:t>l</w:t>
      </w:r>
      <w:r w:rsidRPr="00F406F2" w:rsidR="00FE6759">
        <w:rPr>
          <w:rFonts w:asciiTheme="minorHAnsi" w:hAnsiTheme="minorHAnsi" w:cstheme="minorHAnsi"/>
        </w:rPr>
        <w:t xml:space="preserve">ike all Americans, podiatric physicians are eager for a quick and orderly vaccine distribution process.  To help with such a process, </w:t>
      </w:r>
      <w:r w:rsidR="00FE6759">
        <w:rPr>
          <w:rFonts w:asciiTheme="minorHAnsi" w:hAnsiTheme="minorHAnsi" w:cstheme="minorHAnsi"/>
          <w:b/>
          <w:bCs/>
          <w:i/>
          <w:iCs/>
        </w:rPr>
        <w:t>our association</w:t>
      </w:r>
      <w:r w:rsidRPr="00F406F2" w:rsidR="00FE6759">
        <w:rPr>
          <w:rFonts w:asciiTheme="minorHAnsi" w:hAnsiTheme="minorHAnsi" w:cstheme="minorHAnsi"/>
          <w:b/>
          <w:bCs/>
          <w:i/>
          <w:iCs/>
        </w:rPr>
        <w:t xml:space="preserve"> urge</w:t>
      </w:r>
      <w:r w:rsidR="00FE6759">
        <w:rPr>
          <w:rFonts w:asciiTheme="minorHAnsi" w:hAnsiTheme="minorHAnsi" w:cstheme="minorHAnsi"/>
          <w:b/>
          <w:bCs/>
          <w:i/>
          <w:iCs/>
        </w:rPr>
        <w:t>s our</w:t>
      </w:r>
      <w:r w:rsidRPr="00F406F2" w:rsidR="00FE6759">
        <w:rPr>
          <w:rFonts w:asciiTheme="minorHAnsi" w:hAnsiTheme="minorHAnsi" w:cstheme="minorHAnsi"/>
          <w:b/>
          <w:bCs/>
          <w:i/>
          <w:iCs/>
        </w:rPr>
        <w:t xml:space="preserve"> state to include</w:t>
      </w:r>
      <w:r w:rsidR="00AA698B">
        <w:rPr>
          <w:rFonts w:asciiTheme="minorHAnsi" w:hAnsiTheme="minorHAnsi" w:cstheme="minorHAnsi"/>
          <w:b/>
          <w:bCs/>
          <w:i/>
          <w:iCs/>
        </w:rPr>
        <w:t xml:space="preserve"> doctors of podiatr</w:t>
      </w:r>
      <w:r w:rsidR="005837A1">
        <w:rPr>
          <w:rFonts w:asciiTheme="minorHAnsi" w:hAnsiTheme="minorHAnsi" w:cstheme="minorHAnsi"/>
          <w:b/>
          <w:bCs/>
          <w:i/>
          <w:iCs/>
        </w:rPr>
        <w:t xml:space="preserve">ic </w:t>
      </w:r>
      <w:r w:rsidR="00AA698B">
        <w:rPr>
          <w:rFonts w:asciiTheme="minorHAnsi" w:hAnsiTheme="minorHAnsi" w:cstheme="minorHAnsi"/>
          <w:b/>
          <w:bCs/>
          <w:i/>
          <w:iCs/>
        </w:rPr>
        <w:t xml:space="preserve">medicine </w:t>
      </w:r>
      <w:r w:rsidRPr="00F406F2" w:rsidR="00FE6759">
        <w:rPr>
          <w:rFonts w:asciiTheme="minorHAnsi" w:hAnsiTheme="minorHAnsi" w:cstheme="minorHAnsi"/>
          <w:b/>
          <w:bCs/>
          <w:i/>
          <w:iCs/>
        </w:rPr>
        <w:t xml:space="preserve">in the pool of professionals who can prescribe and administer the COVID-19 vaccine. </w:t>
      </w:r>
    </w:p>
    <w:p w:rsidR="00653AEE" w:rsidP="00FE6759" w:rsidRDefault="00653AEE" w14:paraId="462E908B" w14:textId="77777777">
      <w:pPr>
        <w:ind w:left="0"/>
        <w:rPr>
          <w:rFonts w:asciiTheme="minorHAnsi" w:hAnsiTheme="minorHAnsi" w:cstheme="minorHAnsi"/>
          <w:b/>
          <w:bCs/>
          <w:i/>
          <w:iCs/>
        </w:rPr>
      </w:pPr>
    </w:p>
    <w:p w:rsidR="0042396A" w:rsidP="0042396A" w:rsidRDefault="00FE6759" w14:paraId="75D28F62" w14:textId="06C36B1E">
      <w:pPr>
        <w:ind w:left="0"/>
        <w:rPr>
          <w:rFonts w:asciiTheme="minorHAnsi" w:hAnsiTheme="minorHAnsi" w:cstheme="minorHAnsi"/>
        </w:rPr>
      </w:pPr>
      <w:r w:rsidRPr="00F406F2">
        <w:rPr>
          <w:rFonts w:asciiTheme="minorHAnsi" w:hAnsiTheme="minorHAnsi" w:cstheme="minorHAnsi"/>
          <w:b/>
          <w:bCs/>
          <w:i/>
          <w:iCs/>
        </w:rPr>
        <w:t xml:space="preserve"> </w:t>
      </w:r>
      <w:r w:rsidR="005837A1">
        <w:rPr>
          <w:rFonts w:asciiTheme="minorHAnsi" w:hAnsiTheme="minorHAnsi" w:cstheme="minorHAnsi"/>
        </w:rPr>
        <w:t>P</w:t>
      </w:r>
      <w:r w:rsidRPr="00F406F2">
        <w:rPr>
          <w:rFonts w:asciiTheme="minorHAnsi" w:hAnsiTheme="minorHAnsi" w:cstheme="minorHAnsi"/>
        </w:rPr>
        <w:t>odiatric physicians have many opportunities to interact with their patients as we are on staff in a variety of health-care settings, such as hospitals, nursing homes, wound care centers, and outpatient surgical centers, among others.</w:t>
      </w:r>
      <w:r w:rsidR="006009D6">
        <w:rPr>
          <w:rFonts w:asciiTheme="minorHAnsi" w:hAnsiTheme="minorHAnsi" w:cstheme="minorHAnsi"/>
        </w:rPr>
        <w:t xml:space="preserve"> </w:t>
      </w:r>
      <w:r w:rsidR="00AA698B">
        <w:rPr>
          <w:rFonts w:asciiTheme="minorHAnsi" w:hAnsiTheme="minorHAnsi" w:cstheme="minorHAnsi"/>
        </w:rPr>
        <w:t xml:space="preserve">Our position is consistent with the </w:t>
      </w:r>
      <w:r w:rsidR="00D74724">
        <w:rPr>
          <w:rFonts w:asciiTheme="minorHAnsi" w:hAnsiTheme="minorHAnsi" w:cstheme="minorHAnsi"/>
        </w:rPr>
        <w:t xml:space="preserve">Biden Administration’s </w:t>
      </w:r>
      <w:r w:rsidR="004F581A">
        <w:rPr>
          <w:rFonts w:asciiTheme="minorHAnsi" w:hAnsiTheme="minorHAnsi" w:cstheme="minorHAnsi"/>
        </w:rPr>
        <w:t>“National Strategy for the COVI</w:t>
      </w:r>
      <w:r w:rsidR="00E25600">
        <w:rPr>
          <w:rFonts w:asciiTheme="minorHAnsi" w:hAnsiTheme="minorHAnsi" w:cstheme="minorHAnsi"/>
        </w:rPr>
        <w:t>D</w:t>
      </w:r>
      <w:r w:rsidR="004F581A">
        <w:rPr>
          <w:rFonts w:asciiTheme="minorHAnsi" w:hAnsiTheme="minorHAnsi" w:cstheme="minorHAnsi"/>
        </w:rPr>
        <w:t>-1</w:t>
      </w:r>
      <w:r w:rsidR="00E25600">
        <w:rPr>
          <w:rFonts w:asciiTheme="minorHAnsi" w:hAnsiTheme="minorHAnsi" w:cstheme="minorHAnsi"/>
        </w:rPr>
        <w:t>9</w:t>
      </w:r>
      <w:r w:rsidR="004F581A">
        <w:rPr>
          <w:rFonts w:asciiTheme="minorHAnsi" w:hAnsiTheme="minorHAnsi" w:cstheme="minorHAnsi"/>
        </w:rPr>
        <w:t xml:space="preserve"> Response and Pandemic Preparedness”</w:t>
      </w:r>
      <w:r w:rsidR="00035E18">
        <w:rPr>
          <w:rFonts w:asciiTheme="minorHAnsi" w:hAnsiTheme="minorHAnsi" w:cstheme="minorHAnsi"/>
        </w:rPr>
        <w:t xml:space="preserve"> </w:t>
      </w:r>
      <w:r w:rsidR="00A549CA">
        <w:rPr>
          <w:rFonts w:asciiTheme="minorHAnsi" w:hAnsiTheme="minorHAnsi" w:cstheme="minorHAnsi"/>
        </w:rPr>
        <w:t xml:space="preserve">(National Strategy) </w:t>
      </w:r>
      <w:r w:rsidR="00CC75A1">
        <w:rPr>
          <w:rFonts w:asciiTheme="minorHAnsi" w:hAnsiTheme="minorHAnsi" w:cstheme="minorHAnsi"/>
        </w:rPr>
        <w:t xml:space="preserve">and its recommendation </w:t>
      </w:r>
      <w:r w:rsidR="006009D6">
        <w:rPr>
          <w:rFonts w:asciiTheme="minorHAnsi" w:hAnsiTheme="minorHAnsi" w:cstheme="minorHAnsi"/>
        </w:rPr>
        <w:t>to foster a</w:t>
      </w:r>
      <w:r w:rsidR="00035E18">
        <w:rPr>
          <w:rFonts w:asciiTheme="minorHAnsi" w:hAnsiTheme="minorHAnsi" w:cstheme="minorHAnsi"/>
        </w:rPr>
        <w:t xml:space="preserve"> surge</w:t>
      </w:r>
      <w:r w:rsidR="008401F1">
        <w:rPr>
          <w:rFonts w:asciiTheme="minorHAnsi" w:hAnsiTheme="minorHAnsi" w:cstheme="minorHAnsi"/>
        </w:rPr>
        <w:t xml:space="preserve"> </w:t>
      </w:r>
      <w:r w:rsidR="006009D6">
        <w:rPr>
          <w:rFonts w:asciiTheme="minorHAnsi" w:hAnsiTheme="minorHAnsi" w:cstheme="minorHAnsi"/>
        </w:rPr>
        <w:t xml:space="preserve">in the </w:t>
      </w:r>
      <w:r w:rsidR="008401F1">
        <w:rPr>
          <w:rFonts w:asciiTheme="minorHAnsi" w:hAnsiTheme="minorHAnsi" w:cstheme="minorHAnsi"/>
        </w:rPr>
        <w:t>health care workforce to support the vaccination effort</w:t>
      </w:r>
      <w:r w:rsidR="00D622F3">
        <w:rPr>
          <w:rFonts w:asciiTheme="minorHAnsi" w:hAnsiTheme="minorHAnsi" w:cstheme="minorHAnsi"/>
        </w:rPr>
        <w:t>, specifically</w:t>
      </w:r>
      <w:r w:rsidR="008D67F7">
        <w:rPr>
          <w:rFonts w:asciiTheme="minorHAnsi" w:hAnsiTheme="minorHAnsi" w:cstheme="minorHAnsi"/>
        </w:rPr>
        <w:t xml:space="preserve"> the National Strategy states</w:t>
      </w:r>
      <w:r w:rsidR="00D622F3">
        <w:rPr>
          <w:rFonts w:asciiTheme="minorHAnsi" w:hAnsiTheme="minorHAnsi" w:cstheme="minorHAnsi"/>
        </w:rPr>
        <w:t>:</w:t>
      </w:r>
    </w:p>
    <w:p w:rsidR="00AF5672" w:rsidP="0042396A" w:rsidRDefault="00AF5672" w14:paraId="648F05EB" w14:textId="5DE2EAC0">
      <w:pPr>
        <w:ind w:left="0"/>
        <w:rPr>
          <w:rFonts w:asciiTheme="minorHAnsi" w:hAnsiTheme="minorHAnsi" w:cstheme="minorHAnsi"/>
        </w:rPr>
      </w:pPr>
    </w:p>
    <w:p w:rsidRPr="008D67F7" w:rsidR="00AF5672" w:rsidP="00406938" w:rsidRDefault="00AF5672" w14:paraId="6554B48B" w14:textId="3653C80B">
      <w:pPr>
        <w:rPr>
          <w:rFonts w:asciiTheme="minorHAnsi" w:hAnsiTheme="minorHAnsi" w:cstheme="minorHAnsi"/>
        </w:rPr>
      </w:pPr>
      <w:r w:rsidRPr="008D67F7">
        <w:rPr>
          <w:rStyle w:val="A2"/>
          <w:rFonts w:asciiTheme="minorHAnsi" w:hAnsiTheme="minorHAnsi" w:cstheme="minorHAnsi"/>
        </w:rPr>
        <w:t>A diverse, community-based health care workforce is essential to an effective vaccination program. The United States will address workforce needs by taking steps to allow qualified professionals to administer vaccines and encourage states to leverage their flexibility fully to surge their workforce, including by expanding scope of practice laws and waiving licensing requirements as appropriate.</w:t>
      </w:r>
      <w:r w:rsidRPr="008D67F7" w:rsidR="00094B40">
        <w:rPr>
          <w:rStyle w:val="FootnoteReference"/>
          <w:rFonts w:asciiTheme="minorHAnsi" w:hAnsiTheme="minorHAnsi" w:cstheme="minorHAnsi"/>
          <w:color w:val="212121"/>
          <w:szCs w:val="22"/>
        </w:rPr>
        <w:footnoteReference w:id="1"/>
      </w:r>
    </w:p>
    <w:p w:rsidR="0042396A" w:rsidP="0042396A" w:rsidRDefault="0042396A" w14:paraId="39E1E9FE" w14:textId="77777777">
      <w:pPr>
        <w:ind w:left="0"/>
        <w:rPr>
          <w:rFonts w:asciiTheme="minorHAnsi" w:hAnsiTheme="minorHAnsi" w:cstheme="minorHAnsi"/>
        </w:rPr>
      </w:pPr>
    </w:p>
    <w:p w:rsidR="00E8332E" w:rsidP="0042396A" w:rsidRDefault="005A7E25" w14:paraId="3EF5FD28" w14:textId="3015BF9D">
      <w:pPr>
        <w:ind w:left="0"/>
        <w:rPr>
          <w:rFonts w:asciiTheme="minorHAnsi" w:hAnsiTheme="minorHAnsi" w:cstheme="minorHAnsi"/>
        </w:rPr>
      </w:pPr>
      <w:r>
        <w:rPr>
          <w:rFonts w:asciiTheme="minorHAnsi" w:hAnsiTheme="minorHAnsi" w:cstheme="minorHAnsi"/>
        </w:rPr>
        <w:t>We also urge you heed the National Strategy</w:t>
      </w:r>
      <w:r w:rsidR="00E51BBE">
        <w:rPr>
          <w:rFonts w:asciiTheme="minorHAnsi" w:hAnsiTheme="minorHAnsi" w:cstheme="minorHAnsi"/>
        </w:rPr>
        <w:t>’s</w:t>
      </w:r>
      <w:r w:rsidR="008D67F7">
        <w:rPr>
          <w:rFonts w:asciiTheme="minorHAnsi" w:hAnsiTheme="minorHAnsi" w:cstheme="minorHAnsi"/>
        </w:rPr>
        <w:t xml:space="preserve"> </w:t>
      </w:r>
      <w:r w:rsidR="00376CFA">
        <w:rPr>
          <w:rFonts w:asciiTheme="minorHAnsi" w:hAnsiTheme="minorHAnsi" w:cstheme="minorHAnsi"/>
        </w:rPr>
        <w:t>recommendation</w:t>
      </w:r>
      <w:r>
        <w:rPr>
          <w:rFonts w:asciiTheme="minorHAnsi" w:hAnsiTheme="minorHAnsi" w:cstheme="minorHAnsi"/>
        </w:rPr>
        <w:t xml:space="preserve"> to “</w:t>
      </w:r>
      <w:r w:rsidR="00376CFA">
        <w:rPr>
          <w:rFonts w:asciiTheme="minorHAnsi" w:hAnsiTheme="minorHAnsi" w:cstheme="minorHAnsi"/>
        </w:rPr>
        <w:t>[c]</w:t>
      </w:r>
      <w:proofErr w:type="spellStart"/>
      <w:r>
        <w:rPr>
          <w:rFonts w:asciiTheme="minorHAnsi" w:hAnsiTheme="minorHAnsi" w:cstheme="minorHAnsi"/>
        </w:rPr>
        <w:t>reate</w:t>
      </w:r>
      <w:proofErr w:type="spellEnd"/>
      <w:r>
        <w:rPr>
          <w:rFonts w:asciiTheme="minorHAnsi" w:hAnsiTheme="minorHAnsi" w:cstheme="minorHAnsi"/>
        </w:rPr>
        <w:t xml:space="preserve"> as many venues as needed for people to be vaccinated” and includ</w:t>
      </w:r>
      <w:r w:rsidR="00245960">
        <w:rPr>
          <w:rFonts w:asciiTheme="minorHAnsi" w:hAnsiTheme="minorHAnsi" w:cstheme="minorHAnsi"/>
        </w:rPr>
        <w:t>e</w:t>
      </w:r>
      <w:r>
        <w:rPr>
          <w:rFonts w:asciiTheme="minorHAnsi" w:hAnsiTheme="minorHAnsi" w:cstheme="minorHAnsi"/>
        </w:rPr>
        <w:t xml:space="preserve"> setting</w:t>
      </w:r>
      <w:r w:rsidR="00376CFA">
        <w:rPr>
          <w:rFonts w:asciiTheme="minorHAnsi" w:hAnsiTheme="minorHAnsi" w:cstheme="minorHAnsi"/>
        </w:rPr>
        <w:t>s</w:t>
      </w:r>
      <w:r>
        <w:rPr>
          <w:rFonts w:asciiTheme="minorHAnsi" w:hAnsiTheme="minorHAnsi" w:cstheme="minorHAnsi"/>
        </w:rPr>
        <w:t xml:space="preserve"> that people trust, such as </w:t>
      </w:r>
      <w:r>
        <w:rPr>
          <w:rFonts w:asciiTheme="minorHAnsi" w:hAnsiTheme="minorHAnsi" w:cstheme="minorHAnsi"/>
        </w:rPr>
        <w:t>physicians’</w:t>
      </w:r>
      <w:r>
        <w:rPr>
          <w:rFonts w:asciiTheme="minorHAnsi" w:hAnsiTheme="minorHAnsi" w:cstheme="minorHAnsi"/>
        </w:rPr>
        <w:t xml:space="preserve"> offices.</w:t>
      </w:r>
      <w:r w:rsidR="00153408">
        <w:rPr>
          <w:rStyle w:val="FootnoteReference"/>
          <w:rFonts w:asciiTheme="minorHAnsi" w:hAnsiTheme="minorHAnsi" w:cstheme="minorHAnsi"/>
        </w:rPr>
        <w:footnoteReference w:id="2"/>
      </w:r>
      <w:r>
        <w:rPr>
          <w:rFonts w:asciiTheme="minorHAnsi" w:hAnsiTheme="minorHAnsi" w:cstheme="minorHAnsi"/>
        </w:rPr>
        <w:t xml:space="preserve"> </w:t>
      </w:r>
      <w:r w:rsidRPr="00F406F2" w:rsidR="000F25CF">
        <w:rPr>
          <w:rFonts w:asciiTheme="minorHAnsi" w:hAnsiTheme="minorHAnsi" w:cstheme="minorHAnsi"/>
        </w:rPr>
        <w:t>Podiatric physicians and surgeons undergo education and training similar to their allopathic and osteopathic physician colleagues and possess more than enough experience to</w:t>
      </w:r>
      <w:r w:rsidR="000F25CF">
        <w:rPr>
          <w:rFonts w:asciiTheme="minorHAnsi" w:hAnsiTheme="minorHAnsi" w:cstheme="minorHAnsi"/>
        </w:rPr>
        <w:t xml:space="preserve"> independently</w:t>
      </w:r>
      <w:r w:rsidRPr="00F406F2" w:rsidR="000F25CF">
        <w:rPr>
          <w:rFonts w:asciiTheme="minorHAnsi" w:hAnsiTheme="minorHAnsi" w:cstheme="minorHAnsi"/>
        </w:rPr>
        <w:t xml:space="preserve"> prescribe and administer the vaccine. </w:t>
      </w:r>
      <w:r w:rsidRPr="00F406F2" w:rsidR="0042396A">
        <w:rPr>
          <w:rFonts w:asciiTheme="minorHAnsi" w:hAnsiTheme="minorHAnsi" w:cstheme="minorHAnsi"/>
        </w:rPr>
        <w:t xml:space="preserve">Not only do podiatric physicians and surgeons have the training, but podiatrists often treat patients with chronic conditions such as diabetes. These patients frequently see their podiatrists more often and more consistently than their primary care providers, and because of that ongoing relationship, have a high level of trust for their podiatric physicians. </w:t>
      </w:r>
    </w:p>
    <w:p w:rsidR="00E8332E" w:rsidP="0042396A" w:rsidRDefault="00E8332E" w14:paraId="6637FFEA" w14:textId="63CC9BEB">
      <w:pPr>
        <w:ind w:left="0"/>
        <w:rPr>
          <w:rFonts w:asciiTheme="minorHAnsi" w:hAnsiTheme="minorHAnsi" w:cstheme="minorHAnsi"/>
        </w:rPr>
      </w:pPr>
    </w:p>
    <w:p w:rsidRPr="00F406F2" w:rsidR="0042396A" w:rsidP="0042396A" w:rsidRDefault="0042396A" w14:paraId="724F5861" w14:textId="18AA5597">
      <w:pPr>
        <w:ind w:left="0"/>
        <w:rPr>
          <w:rFonts w:asciiTheme="minorHAnsi" w:hAnsiTheme="minorHAnsi" w:cstheme="minorHAnsi"/>
        </w:rPr>
      </w:pPr>
      <w:r w:rsidRPr="00F406F2">
        <w:rPr>
          <w:rFonts w:asciiTheme="minorHAnsi" w:hAnsiTheme="minorHAnsi" w:cstheme="minorHAnsi"/>
        </w:rPr>
        <w:t>Facing a shortage of medical personnel, hospitals and other health-care facilities called upon podiatric physicians and podiatric residents to provide care to patients diagnosed with COVID-19, and podiatric physicians are ready to serve aga</w:t>
      </w:r>
      <w:r w:rsidR="001E7542">
        <w:rPr>
          <w:rFonts w:asciiTheme="minorHAnsi" w:hAnsiTheme="minorHAnsi" w:cstheme="minorHAnsi"/>
        </w:rPr>
        <w:t>in. In</w:t>
      </w:r>
      <w:r w:rsidR="009D22AB">
        <w:rPr>
          <w:rFonts w:asciiTheme="minorHAnsi" w:hAnsiTheme="minorHAnsi" w:cstheme="minorHAnsi"/>
        </w:rPr>
        <w:t xml:space="preserve"> fact, p</w:t>
      </w:r>
      <w:r w:rsidR="001A5DC5">
        <w:rPr>
          <w:rFonts w:asciiTheme="minorHAnsi" w:hAnsiTheme="minorHAnsi" w:cstheme="minorHAnsi"/>
        </w:rPr>
        <w:t xml:space="preserve">odiatrists </w:t>
      </w:r>
      <w:r w:rsidR="001E7542">
        <w:rPr>
          <w:rFonts w:asciiTheme="minorHAnsi" w:hAnsiTheme="minorHAnsi" w:cstheme="minorHAnsi"/>
        </w:rPr>
        <w:t>are</w:t>
      </w:r>
      <w:r w:rsidR="006D6C23">
        <w:rPr>
          <w:rFonts w:asciiTheme="minorHAnsi" w:hAnsiTheme="minorHAnsi" w:cstheme="minorHAnsi"/>
        </w:rPr>
        <w:t xml:space="preserve"> </w:t>
      </w:r>
      <w:r w:rsidR="001E7542">
        <w:rPr>
          <w:rFonts w:asciiTheme="minorHAnsi" w:hAnsiTheme="minorHAnsi" w:cstheme="minorHAnsi"/>
        </w:rPr>
        <w:t xml:space="preserve">already </w:t>
      </w:r>
      <w:r w:rsidR="001A5DC5">
        <w:rPr>
          <w:rFonts w:asciiTheme="minorHAnsi" w:hAnsiTheme="minorHAnsi" w:cstheme="minorHAnsi"/>
        </w:rPr>
        <w:t>administer</w:t>
      </w:r>
      <w:r w:rsidR="001E7542">
        <w:rPr>
          <w:rFonts w:asciiTheme="minorHAnsi" w:hAnsiTheme="minorHAnsi" w:cstheme="minorHAnsi"/>
        </w:rPr>
        <w:t>ing</w:t>
      </w:r>
      <w:r w:rsidR="001A5DC5">
        <w:rPr>
          <w:rFonts w:asciiTheme="minorHAnsi" w:hAnsiTheme="minorHAnsi" w:cstheme="minorHAnsi"/>
        </w:rPr>
        <w:t xml:space="preserve"> vaccinations in the </w:t>
      </w:r>
      <w:r w:rsidR="00C46903">
        <w:rPr>
          <w:rFonts w:asciiTheme="minorHAnsi" w:hAnsiTheme="minorHAnsi" w:cstheme="minorHAnsi"/>
        </w:rPr>
        <w:t xml:space="preserve">states </w:t>
      </w:r>
      <w:r w:rsidR="001A5DC5">
        <w:rPr>
          <w:rFonts w:asciiTheme="minorHAnsi" w:hAnsiTheme="minorHAnsi" w:cstheme="minorHAnsi"/>
        </w:rPr>
        <w:t xml:space="preserve">that have </w:t>
      </w:r>
      <w:r w:rsidR="001E7542">
        <w:rPr>
          <w:rFonts w:asciiTheme="minorHAnsi" w:hAnsiTheme="minorHAnsi" w:cstheme="minorHAnsi"/>
        </w:rPr>
        <w:t xml:space="preserve">their </w:t>
      </w:r>
      <w:r w:rsidR="006D6C23">
        <w:rPr>
          <w:rFonts w:asciiTheme="minorHAnsi" w:hAnsiTheme="minorHAnsi" w:cstheme="minorHAnsi"/>
        </w:rPr>
        <w:t>r</w:t>
      </w:r>
      <w:r w:rsidR="00694B2C">
        <w:rPr>
          <w:rFonts w:asciiTheme="minorHAnsi" w:hAnsiTheme="minorHAnsi" w:cstheme="minorHAnsi"/>
        </w:rPr>
        <w:t xml:space="preserve">elaxed scope of practice laws to </w:t>
      </w:r>
      <w:r w:rsidR="001A5DC5">
        <w:rPr>
          <w:rFonts w:asciiTheme="minorHAnsi" w:hAnsiTheme="minorHAnsi" w:cstheme="minorHAnsi"/>
        </w:rPr>
        <w:t>authorize</w:t>
      </w:r>
      <w:r w:rsidR="00694B2C">
        <w:rPr>
          <w:rFonts w:asciiTheme="minorHAnsi" w:hAnsiTheme="minorHAnsi" w:cstheme="minorHAnsi"/>
        </w:rPr>
        <w:t xml:space="preserve"> podiatric physicians to administer the </w:t>
      </w:r>
      <w:r w:rsidR="00694B2C">
        <w:rPr>
          <w:rFonts w:asciiTheme="minorHAnsi" w:hAnsiTheme="minorHAnsi" w:cstheme="minorHAnsi"/>
        </w:rPr>
        <w:lastRenderedPageBreak/>
        <w:t>COVID-19</w:t>
      </w:r>
      <w:r w:rsidR="00B33D81">
        <w:rPr>
          <w:rFonts w:asciiTheme="minorHAnsi" w:hAnsiTheme="minorHAnsi" w:cstheme="minorHAnsi"/>
        </w:rPr>
        <w:t xml:space="preserve"> </w:t>
      </w:r>
      <w:r w:rsidR="006D6C23">
        <w:rPr>
          <w:rFonts w:asciiTheme="minorHAnsi" w:hAnsiTheme="minorHAnsi" w:cstheme="minorHAnsi"/>
        </w:rPr>
        <w:t>va</w:t>
      </w:r>
      <w:r w:rsidR="00B33D81">
        <w:rPr>
          <w:rFonts w:asciiTheme="minorHAnsi" w:hAnsiTheme="minorHAnsi" w:cstheme="minorHAnsi"/>
        </w:rPr>
        <w:t>cci</w:t>
      </w:r>
      <w:r w:rsidR="001A5DC5">
        <w:rPr>
          <w:rFonts w:asciiTheme="minorHAnsi" w:hAnsiTheme="minorHAnsi" w:cstheme="minorHAnsi"/>
        </w:rPr>
        <w:t>nation</w:t>
      </w:r>
      <w:r w:rsidR="00FE09B4">
        <w:rPr>
          <w:rFonts w:asciiTheme="minorHAnsi" w:hAnsiTheme="minorHAnsi" w:cstheme="minorHAnsi"/>
        </w:rPr>
        <w:t xml:space="preserve">. </w:t>
      </w:r>
      <w:r w:rsidR="000E0192">
        <w:rPr>
          <w:rFonts w:asciiTheme="minorHAnsi" w:hAnsiTheme="minorHAnsi" w:cstheme="minorHAnsi"/>
        </w:rPr>
        <w:t xml:space="preserve">The citizens of our state will benefit when more qualified health care providers, like podiatric physicians, are authorized to administer the COVID-19 vaccination, and I urge you to act today.  </w:t>
      </w:r>
    </w:p>
    <w:p w:rsidRPr="00F406F2" w:rsidR="0042396A" w:rsidP="0042396A" w:rsidRDefault="0042396A" w14:paraId="68FE6B09" w14:textId="77777777">
      <w:pPr>
        <w:rPr>
          <w:rFonts w:asciiTheme="minorHAnsi" w:hAnsiTheme="minorHAnsi" w:cstheme="minorHAnsi"/>
        </w:rPr>
      </w:pPr>
    </w:p>
    <w:p w:rsidRPr="00F406F2" w:rsidR="0042396A" w:rsidP="0042396A" w:rsidRDefault="0042396A" w14:paraId="5A475E2E" w14:textId="42E172FC">
      <w:pPr>
        <w:ind w:left="0"/>
        <w:rPr>
          <w:rFonts w:asciiTheme="minorHAnsi" w:hAnsiTheme="minorHAnsi" w:cstheme="minorHAnsi"/>
        </w:rPr>
      </w:pPr>
      <w:r w:rsidRPr="00F406F2">
        <w:rPr>
          <w:rFonts w:asciiTheme="minorHAnsi" w:hAnsiTheme="minorHAnsi" w:cstheme="minorHAnsi"/>
        </w:rPr>
        <w:t xml:space="preserve">I again thank you for your strong leadership during this global health crisis. </w:t>
      </w:r>
      <w:r w:rsidR="00677A72">
        <w:rPr>
          <w:rFonts w:asciiTheme="minorHAnsi" w:hAnsiTheme="minorHAnsi" w:cstheme="minorHAnsi"/>
        </w:rPr>
        <w:t xml:space="preserve">Our association is available to </w:t>
      </w:r>
      <w:r w:rsidR="00FE09B4">
        <w:rPr>
          <w:rFonts w:asciiTheme="minorHAnsi" w:hAnsiTheme="minorHAnsi" w:cstheme="minorHAnsi"/>
        </w:rPr>
        <w:t xml:space="preserve">be </w:t>
      </w:r>
      <w:r w:rsidR="00677A72">
        <w:rPr>
          <w:rFonts w:asciiTheme="minorHAnsi" w:hAnsiTheme="minorHAnsi" w:cstheme="minorHAnsi"/>
        </w:rPr>
        <w:t xml:space="preserve">of assistance, and </w:t>
      </w:r>
      <w:r w:rsidRPr="00677A72" w:rsidR="00677A72">
        <w:rPr>
          <w:rFonts w:asciiTheme="minorHAnsi" w:hAnsiTheme="minorHAnsi" w:cstheme="minorHAnsi"/>
          <w:highlight w:val="yellow"/>
        </w:rPr>
        <w:t>p</w:t>
      </w:r>
      <w:r w:rsidRPr="00677A72">
        <w:rPr>
          <w:rFonts w:asciiTheme="minorHAnsi" w:hAnsiTheme="minorHAnsi" w:cstheme="minorHAnsi"/>
          <w:highlight w:val="yellow"/>
        </w:rPr>
        <w:t>lease contact [president</w:t>
      </w:r>
      <w:r w:rsidRPr="00677A72" w:rsidR="00677A72">
        <w:rPr>
          <w:rFonts w:asciiTheme="minorHAnsi" w:hAnsiTheme="minorHAnsi" w:cstheme="minorHAnsi"/>
          <w:highlight w:val="yellow"/>
        </w:rPr>
        <w:t xml:space="preserve"> or </w:t>
      </w:r>
      <w:r w:rsidRPr="00677A72">
        <w:rPr>
          <w:rFonts w:asciiTheme="minorHAnsi" w:hAnsiTheme="minorHAnsi" w:cstheme="minorHAnsi"/>
          <w:highlight w:val="yellow"/>
        </w:rPr>
        <w:t xml:space="preserve">executive director </w:t>
      </w:r>
      <w:r w:rsidRPr="00677A72" w:rsidR="00677A72">
        <w:rPr>
          <w:rFonts w:asciiTheme="minorHAnsi" w:hAnsiTheme="minorHAnsi" w:cstheme="minorHAnsi"/>
          <w:highlight w:val="yellow"/>
        </w:rPr>
        <w:t xml:space="preserve">name and </w:t>
      </w:r>
      <w:r w:rsidRPr="00677A72">
        <w:rPr>
          <w:rFonts w:asciiTheme="minorHAnsi" w:hAnsiTheme="minorHAnsi" w:cstheme="minorHAnsi"/>
          <w:highlight w:val="yellow"/>
        </w:rPr>
        <w:t>email</w:t>
      </w:r>
      <w:r w:rsidRPr="0042396A">
        <w:rPr>
          <w:rFonts w:asciiTheme="minorHAnsi" w:hAnsiTheme="minorHAnsi" w:cstheme="minorHAnsi"/>
          <w:highlight w:val="yellow"/>
        </w:rPr>
        <w:t>].</w:t>
      </w:r>
    </w:p>
    <w:p w:rsidRPr="00F406F2" w:rsidR="0042396A" w:rsidP="0042396A" w:rsidRDefault="0042396A" w14:paraId="7EF4E79E" w14:textId="50F816FB">
      <w:pPr>
        <w:rPr>
          <w:rFonts w:asciiTheme="minorHAnsi" w:hAnsiTheme="minorHAnsi" w:cstheme="minorHAnsi"/>
        </w:rPr>
      </w:pPr>
    </w:p>
    <w:p w:rsidRPr="00F406F2" w:rsidR="0042396A" w:rsidP="0042396A" w:rsidRDefault="0042396A" w14:paraId="1466A198" w14:textId="77777777">
      <w:pPr>
        <w:ind w:left="0"/>
        <w:rPr>
          <w:rFonts w:asciiTheme="minorHAnsi" w:hAnsiTheme="minorHAnsi" w:cstheme="minorHAnsi"/>
        </w:rPr>
      </w:pPr>
      <w:r w:rsidRPr="00F406F2">
        <w:rPr>
          <w:rFonts w:asciiTheme="minorHAnsi" w:hAnsiTheme="minorHAnsi" w:cstheme="minorHAnsi"/>
        </w:rPr>
        <w:t xml:space="preserve">Sincerely, </w:t>
      </w:r>
    </w:p>
    <w:p w:rsidRPr="00F406F2" w:rsidR="0042396A" w:rsidP="0042396A" w:rsidRDefault="0042396A" w14:paraId="40520E2C" w14:textId="77777777">
      <w:pPr>
        <w:rPr>
          <w:rFonts w:asciiTheme="minorHAnsi" w:hAnsiTheme="minorHAnsi" w:cstheme="minorHAnsi"/>
        </w:rPr>
      </w:pPr>
    </w:p>
    <w:p w:rsidRPr="00F406F2" w:rsidR="0042396A" w:rsidP="0042396A" w:rsidRDefault="0042396A" w14:paraId="26F6928A" w14:textId="77777777">
      <w:pPr>
        <w:rPr>
          <w:rFonts w:asciiTheme="minorHAnsi" w:hAnsiTheme="minorHAnsi" w:cstheme="minorHAnsi"/>
        </w:rPr>
      </w:pPr>
    </w:p>
    <w:p w:rsidRPr="00F406F2" w:rsidR="0042396A" w:rsidP="0042396A" w:rsidRDefault="0042396A" w14:paraId="5C6088D4" w14:textId="77777777">
      <w:pPr>
        <w:rPr>
          <w:rFonts w:asciiTheme="minorHAnsi" w:hAnsiTheme="minorHAnsi" w:cstheme="minorHAnsi"/>
          <w:szCs w:val="22"/>
        </w:rPr>
      </w:pPr>
    </w:p>
    <w:p w:rsidRPr="00F406F2" w:rsidR="0042396A" w:rsidP="0042396A" w:rsidRDefault="0042396A" w14:paraId="7E6E1EE7" w14:textId="7DD15575">
      <w:pPr>
        <w:ind w:left="0"/>
        <w:rPr>
          <w:rFonts w:asciiTheme="minorHAnsi" w:hAnsiTheme="minorHAnsi" w:cstheme="minorHAnsi"/>
          <w:szCs w:val="22"/>
        </w:rPr>
      </w:pPr>
      <w:r w:rsidRPr="0042396A">
        <w:rPr>
          <w:rFonts w:asciiTheme="minorHAnsi" w:hAnsiTheme="minorHAnsi" w:cstheme="minorHAnsi"/>
          <w:szCs w:val="22"/>
          <w:highlight w:val="yellow"/>
        </w:rPr>
        <w:t>[President’s name],</w:t>
      </w:r>
      <w:r w:rsidRPr="00F406F2">
        <w:rPr>
          <w:rFonts w:asciiTheme="minorHAnsi" w:hAnsiTheme="minorHAnsi" w:cstheme="minorHAnsi"/>
          <w:szCs w:val="22"/>
        </w:rPr>
        <w:t xml:space="preserve"> DPM</w:t>
      </w:r>
    </w:p>
    <w:p w:rsidRPr="00F406F2" w:rsidR="0042396A" w:rsidP="0042396A" w:rsidRDefault="0042396A" w14:paraId="61A487B7" w14:textId="77777777">
      <w:pPr>
        <w:ind w:left="0"/>
        <w:rPr>
          <w:rFonts w:asciiTheme="minorHAnsi" w:hAnsiTheme="minorHAnsi" w:cstheme="minorHAnsi"/>
          <w:szCs w:val="22"/>
        </w:rPr>
      </w:pPr>
      <w:r w:rsidRPr="00F406F2">
        <w:rPr>
          <w:rFonts w:asciiTheme="minorHAnsi" w:hAnsiTheme="minorHAnsi" w:cstheme="minorHAnsi"/>
          <w:szCs w:val="22"/>
        </w:rPr>
        <w:t>President</w:t>
      </w:r>
    </w:p>
    <w:p w:rsidRPr="00F406F2" w:rsidR="0042396A" w:rsidP="0042396A" w:rsidRDefault="0042396A" w14:paraId="7FF764CC" w14:textId="77777777">
      <w:pPr>
        <w:ind w:left="0"/>
        <w:rPr>
          <w:rFonts w:asciiTheme="minorHAnsi" w:hAnsiTheme="minorHAnsi" w:cstheme="minorHAnsi"/>
          <w:szCs w:val="22"/>
        </w:rPr>
      </w:pPr>
    </w:p>
    <w:p w:rsidR="004A5832" w:rsidRDefault="004A5832" w14:paraId="4D3813E1" w14:textId="77777777"/>
    <w:sectPr w:rsidR="004A5832" w:rsidSect="00B1477B">
      <w:headerReference w:type="default" r:id="rId10"/>
      <w:pgSz w:w="12240" w:h="15840" w:orient="portrait"/>
      <w:pgMar w:top="1440" w:right="1440" w:bottom="1440" w:left="1440" w:header="720" w:footer="1714" w:gutter="0"/>
      <w:cols w:space="720"/>
      <w:noEndnote/>
      <w:titlePg/>
      <w:docGrid w:linePitch="299"/>
      <w:headerReference w:type="first" r:id="R6c761a92524e4626"/>
      <w:footerReference w:type="default" r:id="Ra76113634ed4416a"/>
      <w:footerReference w:type="first" r:id="R2837b91362f24c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B7DBD" w:rsidP="0042396A" w:rsidRDefault="007B7DBD" w14:paraId="75975474" w14:textId="77777777">
      <w:r>
        <w:separator/>
      </w:r>
    </w:p>
  </w:endnote>
  <w:endnote w:type="continuationSeparator" w:id="0">
    <w:p w:rsidR="007B7DBD" w:rsidP="0042396A" w:rsidRDefault="007B7DBD" w14:paraId="2FF4D62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cimal Book">
    <w:altName w:val="Decimal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D562B1B" w:rsidTr="0D562B1B" w14:paraId="27907170">
      <w:tc>
        <w:tcPr>
          <w:tcW w:w="3120" w:type="dxa"/>
          <w:tcMar/>
        </w:tcPr>
        <w:p w:rsidR="0D562B1B" w:rsidP="0D562B1B" w:rsidRDefault="0D562B1B" w14:paraId="1E9F02D7" w14:textId="6BC0D7A5">
          <w:pPr>
            <w:pStyle w:val="Header"/>
            <w:bidi w:val="0"/>
            <w:ind w:left="-115"/>
            <w:jc w:val="left"/>
          </w:pPr>
        </w:p>
      </w:tc>
      <w:tc>
        <w:tcPr>
          <w:tcW w:w="3120" w:type="dxa"/>
          <w:tcMar/>
        </w:tcPr>
        <w:p w:rsidR="0D562B1B" w:rsidP="0D562B1B" w:rsidRDefault="0D562B1B" w14:paraId="710493F3" w14:textId="699C65F7">
          <w:pPr>
            <w:pStyle w:val="Header"/>
            <w:bidi w:val="0"/>
            <w:jc w:val="center"/>
          </w:pPr>
        </w:p>
      </w:tc>
      <w:tc>
        <w:tcPr>
          <w:tcW w:w="3120" w:type="dxa"/>
          <w:tcMar/>
        </w:tcPr>
        <w:p w:rsidR="0D562B1B" w:rsidP="0D562B1B" w:rsidRDefault="0D562B1B" w14:paraId="20A333D4" w14:textId="502101A1">
          <w:pPr>
            <w:pStyle w:val="Header"/>
            <w:bidi w:val="0"/>
            <w:ind w:right="-115"/>
            <w:jc w:val="right"/>
          </w:pPr>
        </w:p>
      </w:tc>
    </w:tr>
  </w:tbl>
  <w:p w:rsidR="0D562B1B" w:rsidP="0D562B1B" w:rsidRDefault="0D562B1B" w14:paraId="2FE7CB59" w14:textId="78F6FD08">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D562B1B" w:rsidTr="0D562B1B" w14:paraId="4D090819">
      <w:tc>
        <w:tcPr>
          <w:tcW w:w="3120" w:type="dxa"/>
          <w:tcMar/>
        </w:tcPr>
        <w:p w:rsidR="0D562B1B" w:rsidP="0D562B1B" w:rsidRDefault="0D562B1B" w14:paraId="1AEF54C0" w14:textId="50E9D50E">
          <w:pPr>
            <w:pStyle w:val="Header"/>
            <w:bidi w:val="0"/>
            <w:ind w:left="-115"/>
            <w:jc w:val="left"/>
          </w:pPr>
        </w:p>
      </w:tc>
      <w:tc>
        <w:tcPr>
          <w:tcW w:w="3120" w:type="dxa"/>
          <w:tcMar/>
        </w:tcPr>
        <w:p w:rsidR="0D562B1B" w:rsidP="0D562B1B" w:rsidRDefault="0D562B1B" w14:paraId="630CB69C" w14:textId="53737A9B">
          <w:pPr>
            <w:pStyle w:val="Header"/>
            <w:bidi w:val="0"/>
            <w:jc w:val="center"/>
          </w:pPr>
        </w:p>
      </w:tc>
      <w:tc>
        <w:tcPr>
          <w:tcW w:w="3120" w:type="dxa"/>
          <w:tcMar/>
        </w:tcPr>
        <w:p w:rsidR="0D562B1B" w:rsidP="0D562B1B" w:rsidRDefault="0D562B1B" w14:paraId="67293C28" w14:textId="3B465955">
          <w:pPr>
            <w:pStyle w:val="Header"/>
            <w:bidi w:val="0"/>
            <w:ind w:right="-115"/>
            <w:jc w:val="right"/>
          </w:pPr>
        </w:p>
      </w:tc>
    </w:tr>
  </w:tbl>
  <w:p w:rsidR="0D562B1B" w:rsidP="0D562B1B" w:rsidRDefault="0D562B1B" w14:paraId="00C11B76" w14:textId="13FAB325">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B7DBD" w:rsidP="0042396A" w:rsidRDefault="007B7DBD" w14:paraId="11B0DC0B" w14:textId="77777777">
      <w:r>
        <w:separator/>
      </w:r>
    </w:p>
  </w:footnote>
  <w:footnote w:type="continuationSeparator" w:id="0">
    <w:p w:rsidR="007B7DBD" w:rsidP="0042396A" w:rsidRDefault="007B7DBD" w14:paraId="2C04B6EC" w14:textId="77777777">
      <w:r>
        <w:continuationSeparator/>
      </w:r>
    </w:p>
  </w:footnote>
  <w:footnote w:id="1">
    <w:p w:rsidRPr="00406938" w:rsidR="00094B40" w:rsidRDefault="00094B40" w14:paraId="472E2284" w14:textId="6824E159">
      <w:pPr>
        <w:pStyle w:val="FootnoteText"/>
        <w:rPr>
          <w:rFonts w:asciiTheme="minorHAnsi" w:hAnsiTheme="minorHAnsi" w:cstheme="minorHAnsi"/>
          <w:sz w:val="22"/>
          <w:szCs w:val="22"/>
        </w:rPr>
      </w:pPr>
      <w:r w:rsidRPr="00406938">
        <w:rPr>
          <w:rStyle w:val="FootnoteReference"/>
          <w:rFonts w:asciiTheme="minorHAnsi" w:hAnsiTheme="minorHAnsi" w:cstheme="minorHAnsi"/>
          <w:sz w:val="22"/>
          <w:szCs w:val="22"/>
        </w:rPr>
        <w:footnoteRef/>
      </w:r>
      <w:r w:rsidRPr="00406938">
        <w:rPr>
          <w:rFonts w:asciiTheme="minorHAnsi" w:hAnsiTheme="minorHAnsi" w:cstheme="minorHAnsi"/>
          <w:sz w:val="22"/>
          <w:szCs w:val="22"/>
        </w:rPr>
        <w:t xml:space="preserve"> </w:t>
      </w:r>
      <w:r w:rsidRPr="00406938" w:rsidR="00E567FF">
        <w:rPr>
          <w:rFonts w:asciiTheme="minorHAnsi" w:hAnsiTheme="minorHAnsi" w:cstheme="minorHAnsi"/>
          <w:sz w:val="22"/>
          <w:szCs w:val="22"/>
        </w:rPr>
        <w:t xml:space="preserve">The White House, </w:t>
      </w:r>
      <w:r w:rsidR="003E354B">
        <w:rPr>
          <w:rFonts w:asciiTheme="minorHAnsi" w:hAnsiTheme="minorHAnsi" w:cstheme="minorHAnsi"/>
          <w:sz w:val="22"/>
          <w:szCs w:val="22"/>
        </w:rPr>
        <w:t>“</w:t>
      </w:r>
      <w:r w:rsidRPr="00406938" w:rsidR="00E567FF">
        <w:rPr>
          <w:rFonts w:asciiTheme="minorHAnsi" w:hAnsiTheme="minorHAnsi" w:cstheme="minorHAnsi"/>
          <w:sz w:val="22"/>
          <w:szCs w:val="22"/>
        </w:rPr>
        <w:t xml:space="preserve">National Strategy for the COVID-19 Response and </w:t>
      </w:r>
      <w:r w:rsidRPr="00406938" w:rsidR="003201A1">
        <w:rPr>
          <w:rFonts w:asciiTheme="minorHAnsi" w:hAnsiTheme="minorHAnsi" w:cstheme="minorHAnsi"/>
          <w:sz w:val="22"/>
          <w:szCs w:val="22"/>
        </w:rPr>
        <w:t>Pandemic Preparedness</w:t>
      </w:r>
      <w:r w:rsidR="003E354B">
        <w:rPr>
          <w:rFonts w:asciiTheme="minorHAnsi" w:hAnsiTheme="minorHAnsi" w:cstheme="minorHAnsi"/>
          <w:sz w:val="22"/>
          <w:szCs w:val="22"/>
        </w:rPr>
        <w:t>”</w:t>
      </w:r>
      <w:r w:rsidRPr="00406938" w:rsidR="00DA2C90">
        <w:rPr>
          <w:rFonts w:asciiTheme="minorHAnsi" w:hAnsiTheme="minorHAnsi" w:cstheme="minorHAnsi"/>
          <w:sz w:val="22"/>
          <w:szCs w:val="22"/>
        </w:rPr>
        <w:t xml:space="preserve"> (January 21, 2021),</w:t>
      </w:r>
      <w:r w:rsidR="00376CFA">
        <w:rPr>
          <w:rFonts w:asciiTheme="minorHAnsi" w:hAnsiTheme="minorHAnsi" w:cstheme="minorHAnsi"/>
          <w:sz w:val="22"/>
          <w:szCs w:val="22"/>
        </w:rPr>
        <w:t xml:space="preserve"> p.</w:t>
      </w:r>
      <w:r w:rsidR="00C106C3">
        <w:rPr>
          <w:rFonts w:asciiTheme="minorHAnsi" w:hAnsiTheme="minorHAnsi" w:cstheme="minorHAnsi"/>
          <w:sz w:val="22"/>
          <w:szCs w:val="22"/>
        </w:rPr>
        <w:t>1</w:t>
      </w:r>
      <w:r w:rsidR="00C46903">
        <w:rPr>
          <w:rFonts w:asciiTheme="minorHAnsi" w:hAnsiTheme="minorHAnsi" w:cstheme="minorHAnsi"/>
          <w:sz w:val="22"/>
          <w:szCs w:val="22"/>
        </w:rPr>
        <w:t>1</w:t>
      </w:r>
      <w:r w:rsidR="005B2BED">
        <w:rPr>
          <w:rFonts w:asciiTheme="minorHAnsi" w:hAnsiTheme="minorHAnsi" w:cstheme="minorHAnsi"/>
          <w:sz w:val="22"/>
          <w:szCs w:val="22"/>
        </w:rPr>
        <w:t xml:space="preserve">, </w:t>
      </w:r>
      <w:r w:rsidR="00376CFA">
        <w:rPr>
          <w:rFonts w:asciiTheme="minorHAnsi" w:hAnsiTheme="minorHAnsi" w:cstheme="minorHAnsi"/>
          <w:sz w:val="22"/>
          <w:szCs w:val="22"/>
        </w:rPr>
        <w:t xml:space="preserve"> </w:t>
      </w:r>
      <w:r w:rsidRPr="00406938" w:rsidR="00DA2C90">
        <w:rPr>
          <w:rFonts w:asciiTheme="minorHAnsi" w:hAnsiTheme="minorHAnsi" w:cstheme="minorHAnsi"/>
          <w:sz w:val="22"/>
          <w:szCs w:val="22"/>
        </w:rPr>
        <w:t xml:space="preserve"> </w:t>
      </w:r>
      <w:hyperlink w:history="1" r:id="rId1">
        <w:r w:rsidRPr="00406938" w:rsidR="00406938">
          <w:rPr>
            <w:rStyle w:val="Hyperlink"/>
            <w:rFonts w:asciiTheme="minorHAnsi" w:hAnsiTheme="minorHAnsi" w:cstheme="minorHAnsi"/>
            <w:sz w:val="22"/>
            <w:szCs w:val="22"/>
          </w:rPr>
          <w:t>https://www.whitehouse.gov/wp-content/uploads/2021/01/National-Strategy-for-the-COVID-19-Response-and-Pandemic-Preparedness.pdf</w:t>
        </w:r>
      </w:hyperlink>
      <w:r w:rsidRPr="00406938" w:rsidR="003201A1">
        <w:rPr>
          <w:rFonts w:asciiTheme="minorHAnsi" w:hAnsiTheme="minorHAnsi" w:cstheme="minorHAnsi"/>
          <w:sz w:val="22"/>
          <w:szCs w:val="22"/>
        </w:rPr>
        <w:t xml:space="preserve"> (Last Accessed January 25, 2021). </w:t>
      </w:r>
    </w:p>
  </w:footnote>
  <w:footnote w:id="2">
    <w:p w:rsidR="00153408" w:rsidRDefault="00153408" w14:paraId="17D1A989" w14:textId="768E3F3A">
      <w:pPr>
        <w:pStyle w:val="FootnoteText"/>
      </w:pPr>
      <w:r>
        <w:rPr>
          <w:rStyle w:val="FootnoteReference"/>
        </w:rPr>
        <w:footnoteRef/>
      </w:r>
      <w:r>
        <w:t xml:space="preserve"> </w:t>
      </w:r>
      <w:r w:rsidRPr="00406938">
        <w:rPr>
          <w:rFonts w:asciiTheme="minorHAnsi" w:hAnsiTheme="minorHAnsi" w:cstheme="minorHAnsi"/>
          <w:sz w:val="22"/>
          <w:szCs w:val="22"/>
        </w:rPr>
        <w:t xml:space="preserve">The White House, </w:t>
      </w:r>
      <w:r>
        <w:rPr>
          <w:rFonts w:asciiTheme="minorHAnsi" w:hAnsiTheme="minorHAnsi" w:cstheme="minorHAnsi"/>
          <w:sz w:val="22"/>
          <w:szCs w:val="22"/>
        </w:rPr>
        <w:t>“</w:t>
      </w:r>
      <w:r w:rsidRPr="00406938">
        <w:rPr>
          <w:rFonts w:asciiTheme="minorHAnsi" w:hAnsiTheme="minorHAnsi" w:cstheme="minorHAnsi"/>
          <w:sz w:val="22"/>
          <w:szCs w:val="22"/>
        </w:rPr>
        <w:t>National Strategy for the COVID-19 Response and Pandemic Preparedness</w:t>
      </w:r>
      <w:r>
        <w:rPr>
          <w:rFonts w:asciiTheme="minorHAnsi" w:hAnsiTheme="minorHAnsi" w:cstheme="minorHAnsi"/>
          <w:sz w:val="22"/>
          <w:szCs w:val="22"/>
        </w:rPr>
        <w:t>”</w:t>
      </w:r>
      <w:r w:rsidRPr="00406938">
        <w:rPr>
          <w:rFonts w:asciiTheme="minorHAnsi" w:hAnsiTheme="minorHAnsi" w:cstheme="minorHAnsi"/>
          <w:sz w:val="22"/>
          <w:szCs w:val="22"/>
        </w:rPr>
        <w:t xml:space="preserve"> (January 21, 2021),</w:t>
      </w:r>
      <w:r>
        <w:rPr>
          <w:rFonts w:asciiTheme="minorHAnsi" w:hAnsiTheme="minorHAnsi" w:cstheme="minorHAnsi"/>
          <w:sz w:val="22"/>
          <w:szCs w:val="22"/>
        </w:rPr>
        <w:t xml:space="preserve"> p.</w:t>
      </w:r>
      <w:r w:rsidR="00C106C3">
        <w:rPr>
          <w:rFonts w:asciiTheme="minorHAnsi" w:hAnsiTheme="minorHAnsi" w:cstheme="minorHAnsi"/>
          <w:sz w:val="22"/>
          <w:szCs w:val="22"/>
        </w:rPr>
        <w:t>9</w:t>
      </w:r>
      <w:r>
        <w:rPr>
          <w:rFonts w:asciiTheme="minorHAnsi" w:hAnsiTheme="minorHAnsi" w:cstheme="minorHAnsi"/>
          <w:sz w:val="22"/>
          <w:szCs w:val="22"/>
        </w:rPr>
        <w:t xml:space="preserve">,  </w:t>
      </w:r>
      <w:r w:rsidRPr="00406938">
        <w:rPr>
          <w:rFonts w:asciiTheme="minorHAnsi" w:hAnsiTheme="minorHAnsi" w:cstheme="minorHAnsi"/>
          <w:sz w:val="22"/>
          <w:szCs w:val="22"/>
        </w:rPr>
        <w:t xml:space="preserve"> </w:t>
      </w:r>
      <w:hyperlink w:history="1" r:id="rId2">
        <w:r w:rsidRPr="00406938">
          <w:rPr>
            <w:rStyle w:val="Hyperlink"/>
            <w:rFonts w:asciiTheme="minorHAnsi" w:hAnsiTheme="minorHAnsi" w:cstheme="minorHAnsi"/>
            <w:sz w:val="22"/>
            <w:szCs w:val="22"/>
          </w:rPr>
          <w:t>https://www.whitehouse.gov/wp-content/uploads/2021/01/National-Strategy-for-the-COVID-19-Response-and-Pandemic-Preparedness.pdf</w:t>
        </w:r>
      </w:hyperlink>
      <w:r w:rsidRPr="00406938">
        <w:rPr>
          <w:rFonts w:asciiTheme="minorHAnsi" w:hAnsiTheme="minorHAnsi" w:cstheme="minorHAnsi"/>
          <w:sz w:val="22"/>
          <w:szCs w:val="22"/>
        </w:rPr>
        <w:t xml:space="preserve"> (Last Accessed January 25,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64B2" w:rsidP="00856CFF" w:rsidRDefault="000E0192" w14:paraId="33F0B9A5" w14:textId="77777777">
    <w:pPr>
      <w:pStyle w:val="Header"/>
      <w:ind w:left="0"/>
      <w:rPr>
        <w:noProof/>
      </w:rPr>
    </w:pPr>
  </w:p>
  <w:p w:rsidR="00C364B2" w:rsidP="00856CFF" w:rsidRDefault="000E0192" w14:paraId="350EB826" w14:textId="77777777">
    <w:pPr>
      <w:pStyle w:val="Header"/>
      <w:ind w:left="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D562B1B" w:rsidTr="0D562B1B" w14:paraId="5251F30E">
      <w:tc>
        <w:tcPr>
          <w:tcW w:w="3120" w:type="dxa"/>
          <w:tcMar/>
        </w:tcPr>
        <w:p w:rsidR="0D562B1B" w:rsidP="0D562B1B" w:rsidRDefault="0D562B1B" w14:paraId="36913993" w14:textId="4CB17251">
          <w:pPr>
            <w:pStyle w:val="Header"/>
            <w:bidi w:val="0"/>
            <w:ind w:left="-115"/>
            <w:jc w:val="left"/>
          </w:pPr>
        </w:p>
      </w:tc>
      <w:tc>
        <w:tcPr>
          <w:tcW w:w="3120" w:type="dxa"/>
          <w:tcMar/>
        </w:tcPr>
        <w:p w:rsidR="0D562B1B" w:rsidP="0D562B1B" w:rsidRDefault="0D562B1B" w14:paraId="41403C0E" w14:textId="2DDF16CF">
          <w:pPr>
            <w:pStyle w:val="Header"/>
            <w:bidi w:val="0"/>
            <w:jc w:val="center"/>
          </w:pPr>
        </w:p>
      </w:tc>
      <w:tc>
        <w:tcPr>
          <w:tcW w:w="3120" w:type="dxa"/>
          <w:tcMar/>
        </w:tcPr>
        <w:p w:rsidR="0D562B1B" w:rsidP="0D562B1B" w:rsidRDefault="0D562B1B" w14:paraId="71B771C2" w14:textId="4CD1D901">
          <w:pPr>
            <w:pStyle w:val="Header"/>
            <w:bidi w:val="0"/>
            <w:ind w:right="-115"/>
            <w:jc w:val="right"/>
          </w:pPr>
        </w:p>
      </w:tc>
    </w:tr>
  </w:tbl>
  <w:p w:rsidR="0D562B1B" w:rsidP="0D562B1B" w:rsidRDefault="0D562B1B" w14:paraId="141F31FD" w14:textId="491B2AF7">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96A"/>
    <w:rsid w:val="00002745"/>
    <w:rsid w:val="00007891"/>
    <w:rsid w:val="00035E18"/>
    <w:rsid w:val="00052973"/>
    <w:rsid w:val="000700F5"/>
    <w:rsid w:val="00094B40"/>
    <w:rsid w:val="000E0192"/>
    <w:rsid w:val="000E42EA"/>
    <w:rsid w:val="000F25CF"/>
    <w:rsid w:val="00153408"/>
    <w:rsid w:val="001A5DC5"/>
    <w:rsid w:val="001E7542"/>
    <w:rsid w:val="002027AE"/>
    <w:rsid w:val="0023717B"/>
    <w:rsid w:val="00245960"/>
    <w:rsid w:val="0025274A"/>
    <w:rsid w:val="003201A1"/>
    <w:rsid w:val="00376CFA"/>
    <w:rsid w:val="003B0AC3"/>
    <w:rsid w:val="003C2F63"/>
    <w:rsid w:val="003E354B"/>
    <w:rsid w:val="00404BAB"/>
    <w:rsid w:val="00406938"/>
    <w:rsid w:val="00416B92"/>
    <w:rsid w:val="0042396A"/>
    <w:rsid w:val="004A2887"/>
    <w:rsid w:val="004A5832"/>
    <w:rsid w:val="004E313F"/>
    <w:rsid w:val="004F581A"/>
    <w:rsid w:val="005837A1"/>
    <w:rsid w:val="005A7E25"/>
    <w:rsid w:val="005B2BED"/>
    <w:rsid w:val="006009D6"/>
    <w:rsid w:val="00653AEE"/>
    <w:rsid w:val="00677A72"/>
    <w:rsid w:val="0068505C"/>
    <w:rsid w:val="00694B2C"/>
    <w:rsid w:val="006974F9"/>
    <w:rsid w:val="006C037B"/>
    <w:rsid w:val="006D6C23"/>
    <w:rsid w:val="00780C6F"/>
    <w:rsid w:val="007B40E4"/>
    <w:rsid w:val="007B7DBD"/>
    <w:rsid w:val="008401F1"/>
    <w:rsid w:val="008D67F7"/>
    <w:rsid w:val="008F0D90"/>
    <w:rsid w:val="00906A44"/>
    <w:rsid w:val="009D22AB"/>
    <w:rsid w:val="00A549CA"/>
    <w:rsid w:val="00A95C71"/>
    <w:rsid w:val="00AA698B"/>
    <w:rsid w:val="00AF5672"/>
    <w:rsid w:val="00B33D81"/>
    <w:rsid w:val="00B45B81"/>
    <w:rsid w:val="00B87C2F"/>
    <w:rsid w:val="00C106C3"/>
    <w:rsid w:val="00C32756"/>
    <w:rsid w:val="00C46903"/>
    <w:rsid w:val="00CC75A1"/>
    <w:rsid w:val="00D622F3"/>
    <w:rsid w:val="00D74724"/>
    <w:rsid w:val="00D908B6"/>
    <w:rsid w:val="00DA2C90"/>
    <w:rsid w:val="00DF1AF3"/>
    <w:rsid w:val="00E25600"/>
    <w:rsid w:val="00E25669"/>
    <w:rsid w:val="00E51BBE"/>
    <w:rsid w:val="00E535D7"/>
    <w:rsid w:val="00E567FF"/>
    <w:rsid w:val="00E60530"/>
    <w:rsid w:val="00E8332E"/>
    <w:rsid w:val="00EB55B2"/>
    <w:rsid w:val="00F1317F"/>
    <w:rsid w:val="00F45FBA"/>
    <w:rsid w:val="00F55EB6"/>
    <w:rsid w:val="00FE09B4"/>
    <w:rsid w:val="00FE6759"/>
    <w:rsid w:val="0D56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140FBD"/>
  <w15:chartTrackingRefBased/>
  <w15:docId w15:val="{915C8C31-9939-40F2-B71F-8E826A34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2396A"/>
    <w:pPr>
      <w:spacing w:after="0" w:line="240" w:lineRule="auto"/>
      <w:ind w:left="360"/>
    </w:pPr>
    <w:rPr>
      <w:rFonts w:ascii="Times New Roman" w:hAnsi="Times New Roman" w:eastAsia="Times New Roman" w:cs="Times New Roman"/>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42396A"/>
    <w:pPr>
      <w:tabs>
        <w:tab w:val="center" w:pos="4320"/>
        <w:tab w:val="right" w:pos="8640"/>
      </w:tabs>
    </w:pPr>
  </w:style>
  <w:style w:type="character" w:styleId="HeaderChar" w:customStyle="1">
    <w:name w:val="Header Char"/>
    <w:basedOn w:val="DefaultParagraphFont"/>
    <w:link w:val="Header"/>
    <w:rsid w:val="0042396A"/>
    <w:rPr>
      <w:rFonts w:ascii="Times New Roman" w:hAnsi="Times New Roman" w:eastAsia="Times New Roman" w:cs="Times New Roman"/>
      <w:szCs w:val="24"/>
    </w:rPr>
  </w:style>
  <w:style w:type="paragraph" w:styleId="NoSpacing">
    <w:name w:val="No Spacing"/>
    <w:uiPriority w:val="1"/>
    <w:qFormat/>
    <w:rsid w:val="0042396A"/>
    <w:pPr>
      <w:spacing w:after="0" w:line="240" w:lineRule="auto"/>
    </w:pPr>
    <w:rPr>
      <w:rFonts w:ascii="Calibri" w:hAnsi="Calibri" w:eastAsia="Calibri" w:cs="Times New Roman"/>
    </w:rPr>
  </w:style>
  <w:style w:type="character" w:styleId="Hyperlink">
    <w:name w:val="Hyperlink"/>
    <w:uiPriority w:val="99"/>
    <w:unhideWhenUsed/>
    <w:rsid w:val="0042396A"/>
    <w:rPr>
      <w:color w:val="0563C1"/>
      <w:u w:val="single"/>
    </w:rPr>
  </w:style>
  <w:style w:type="paragraph" w:styleId="FootnoteText">
    <w:name w:val="footnote text"/>
    <w:basedOn w:val="Normal"/>
    <w:link w:val="FootnoteTextChar"/>
    <w:uiPriority w:val="99"/>
    <w:rsid w:val="0042396A"/>
    <w:pPr>
      <w:ind w:left="0"/>
    </w:pPr>
    <w:rPr>
      <w:sz w:val="20"/>
      <w:szCs w:val="20"/>
    </w:rPr>
  </w:style>
  <w:style w:type="character" w:styleId="FootnoteTextChar" w:customStyle="1">
    <w:name w:val="Footnote Text Char"/>
    <w:basedOn w:val="DefaultParagraphFont"/>
    <w:link w:val="FootnoteText"/>
    <w:uiPriority w:val="99"/>
    <w:rsid w:val="0042396A"/>
    <w:rPr>
      <w:rFonts w:ascii="Times New Roman" w:hAnsi="Times New Roman" w:eastAsia="Times New Roman" w:cs="Times New Roman"/>
      <w:sz w:val="20"/>
      <w:szCs w:val="20"/>
    </w:rPr>
  </w:style>
  <w:style w:type="character" w:styleId="FootnoteReference">
    <w:name w:val="footnote reference"/>
    <w:uiPriority w:val="99"/>
    <w:rsid w:val="0042396A"/>
    <w:rPr>
      <w:vertAlign w:val="superscript"/>
    </w:rPr>
  </w:style>
  <w:style w:type="paragraph" w:styleId="Footer">
    <w:name w:val="footer"/>
    <w:basedOn w:val="Normal"/>
    <w:link w:val="FooterChar"/>
    <w:uiPriority w:val="99"/>
    <w:unhideWhenUsed/>
    <w:rsid w:val="0042396A"/>
    <w:pPr>
      <w:tabs>
        <w:tab w:val="center" w:pos="4680"/>
        <w:tab w:val="right" w:pos="9360"/>
      </w:tabs>
    </w:pPr>
  </w:style>
  <w:style w:type="character" w:styleId="FooterChar" w:customStyle="1">
    <w:name w:val="Footer Char"/>
    <w:basedOn w:val="DefaultParagraphFont"/>
    <w:link w:val="Footer"/>
    <w:uiPriority w:val="99"/>
    <w:rsid w:val="0042396A"/>
    <w:rPr>
      <w:rFonts w:ascii="Times New Roman" w:hAnsi="Times New Roman" w:eastAsia="Times New Roman" w:cs="Times New Roman"/>
      <w:szCs w:val="24"/>
    </w:rPr>
  </w:style>
  <w:style w:type="character" w:styleId="A2" w:customStyle="1">
    <w:name w:val="A2"/>
    <w:uiPriority w:val="99"/>
    <w:rsid w:val="00AF5672"/>
    <w:rPr>
      <w:rFonts w:cs="Decimal Book"/>
      <w:color w:val="212121"/>
      <w:sz w:val="22"/>
      <w:szCs w:val="22"/>
    </w:rPr>
  </w:style>
  <w:style w:type="paragraph" w:styleId="BalloonText">
    <w:name w:val="Balloon Text"/>
    <w:basedOn w:val="Normal"/>
    <w:link w:val="BalloonTextChar"/>
    <w:uiPriority w:val="99"/>
    <w:semiHidden/>
    <w:unhideWhenUsed/>
    <w:rsid w:val="00AF567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F5672"/>
    <w:rPr>
      <w:rFonts w:ascii="Segoe UI" w:hAnsi="Segoe UI" w:eastAsia="Times New Roman" w:cs="Segoe UI"/>
      <w:sz w:val="18"/>
      <w:szCs w:val="18"/>
    </w:rPr>
  </w:style>
  <w:style w:type="character" w:styleId="UnresolvedMention">
    <w:name w:val="Unresolved Mention"/>
    <w:basedOn w:val="DefaultParagraphFont"/>
    <w:uiPriority w:val="99"/>
    <w:semiHidden/>
    <w:unhideWhenUsed/>
    <w:rsid w:val="003201A1"/>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eader" Target="/word/header2.xml" Id="R6c761a92524e4626" /><Relationship Type="http://schemas.openxmlformats.org/officeDocument/2006/relationships/footer" Target="/word/footer.xml" Id="Ra76113634ed4416a" /><Relationship Type="http://schemas.openxmlformats.org/officeDocument/2006/relationships/footer" Target="/word/footer2.xml" Id="R2837b91362f24c72" /></Relationships>
</file>

<file path=word/_rels/footnotes.xml.rels><?xml version="1.0" encoding="UTF-8" standalone="yes"?>
<Relationships xmlns="http://schemas.openxmlformats.org/package/2006/relationships"><Relationship Id="rId2" Type="http://schemas.openxmlformats.org/officeDocument/2006/relationships/hyperlink" Target="https://www.whitehouse.gov/wp-content/uploads/2021/01/National-Strategy-for-the-COVID-19-Response-and-Pandemic-Preparedness.pdf" TargetMode="External"/><Relationship Id="rId1" Type="http://schemas.openxmlformats.org/officeDocument/2006/relationships/hyperlink" Target="https://www.whitehouse.gov/wp-content/uploads/2021/01/National-Strategy-for-the-COVID-19-Response-and-Pandemic-Preparedn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1" ma:contentTypeDescription="Create a new document." ma:contentTypeScope="" ma:versionID="f837f3593a3e77303ea36a6081c554cf">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f8494a6c2d188ed3f5145620e2cc08ae"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70B2A-97C9-4B32-9FAE-2B19EB6176CE}">
  <ds:schemaRefs>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purl.org/dc/dcmitype/"/>
    <ds:schemaRef ds:uri="fcd50eeb-4b82-4317-be54-1fe3687ad23d"/>
    <ds:schemaRef ds:uri="http://schemas.microsoft.com/office/infopath/2007/PartnerControls"/>
    <ds:schemaRef ds:uri="http://schemas.openxmlformats.org/package/2006/metadata/core-properties"/>
    <ds:schemaRef ds:uri="21d4c215-7d80-40c8-95cb-1022683f4e5d"/>
  </ds:schemaRefs>
</ds:datastoreItem>
</file>

<file path=customXml/itemProps2.xml><?xml version="1.0" encoding="utf-8"?>
<ds:datastoreItem xmlns:ds="http://schemas.openxmlformats.org/officeDocument/2006/customXml" ds:itemID="{10F4CFE9-E93D-4A18-B6C6-5AFBE44F6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9F7B8-DCFF-419B-8F9D-EDAE6D35EC54}">
  <ds:schemaRefs>
    <ds:schemaRef ds:uri="http://schemas.microsoft.com/sharepoint/v3/contenttype/forms"/>
  </ds:schemaRefs>
</ds:datastoreItem>
</file>

<file path=customXml/itemProps4.xml><?xml version="1.0" encoding="utf-8"?>
<ds:datastoreItem xmlns:ds="http://schemas.openxmlformats.org/officeDocument/2006/customXml" ds:itemID="{FB428FC2-FF58-4B16-A0CC-F394A26CE5D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Chad L. Appel, JD</dc:creator>
  <keywords/>
  <dc:description/>
  <lastModifiedBy>Chad L. Appel, JD</lastModifiedBy>
  <revision>74</revision>
  <dcterms:created xsi:type="dcterms:W3CDTF">2021-01-25T18:20:00.0000000Z</dcterms:created>
  <dcterms:modified xsi:type="dcterms:W3CDTF">2021-02-03T21:44:03.3949731Z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ies>
</file>